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134E" w14:textId="58E07507" w:rsidR="00970626" w:rsidRPr="00970626" w:rsidRDefault="00970626" w:rsidP="00970626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Grundlegende </w:t>
      </w:r>
      <w:r w:rsidRPr="00970626">
        <w:rPr>
          <w:rFonts w:ascii="Calibri" w:eastAsia="Times New Roman" w:hAnsi="Calibri" w:cs="Calibri"/>
        </w:rPr>
        <w:t>Gedanken zum Wissensnugget</w:t>
      </w:r>
      <w:r>
        <w:rPr>
          <w:rFonts w:ascii="Calibri" w:eastAsia="Times New Roman" w:hAnsi="Calibri" w:cs="Calibri"/>
        </w:rPr>
        <w:t xml:space="preserve"> «UX»</w:t>
      </w:r>
      <w:r w:rsidRPr="00970626">
        <w:rPr>
          <w:rFonts w:ascii="Calibri" w:eastAsia="Times New Roman" w:hAnsi="Calibri" w:cs="Calibri"/>
        </w:rPr>
        <w:t>:</w:t>
      </w:r>
    </w:p>
    <w:p w14:paraId="3F6963EA" w14:textId="351B97BB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970626">
        <w:rPr>
          <w:rFonts w:ascii="Calibri" w:eastAsia="Times New Roman" w:hAnsi="Calibri" w:cs="Calibri"/>
        </w:rPr>
        <w:t xml:space="preserve">Falls noch möglich, würde ich das Nugget in «Usability» </w:t>
      </w:r>
      <w:r w:rsidR="000F219A" w:rsidRPr="00970626">
        <w:rPr>
          <w:rFonts w:ascii="Calibri" w:eastAsia="Times New Roman" w:hAnsi="Calibri" w:cs="Calibri"/>
        </w:rPr>
        <w:t>umbenennen</w:t>
      </w:r>
      <w:r w:rsidRPr="00970626">
        <w:rPr>
          <w:rFonts w:ascii="Calibri" w:eastAsia="Times New Roman" w:hAnsi="Calibri" w:cs="Calibri"/>
        </w:rPr>
        <w:t>. UX umfasst alles, von der Anforderungsanalyse (das wird ja bereits in Design Thinking eingeführt) bis hin zur Kundenbindung (bspw. mittels Ökosystem).</w:t>
      </w:r>
    </w:p>
    <w:p w14:paraId="492AD3E9" w14:textId="77777777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970626">
        <w:rPr>
          <w:rFonts w:ascii="Calibri" w:eastAsia="Times New Roman" w:hAnsi="Calibri" w:cs="Calibri"/>
        </w:rPr>
        <w:t xml:space="preserve">In der Usability würde ich auf die Ebenen «Structure» (Interaction Design, Information Architecture), «Sceleton» (Information Design: Interface Design, Navigation Design) und «Surface» (Visual Design) fokussieren (vgl. Garrett, 2010, </w:t>
      </w:r>
      <w:hyperlink r:id="rId8" w:history="1">
        <w:r w:rsidRPr="00970626">
          <w:rPr>
            <w:rFonts w:ascii="Calibri" w:eastAsia="Times New Roman" w:hAnsi="Calibri" w:cs="Calibri"/>
            <w:color w:val="0563C1"/>
            <w:u w:val="single"/>
          </w:rPr>
          <w:t>The Elements of User Experienceby Jesse James Garrett – UX collection</w:t>
        </w:r>
      </w:hyperlink>
      <w:r w:rsidRPr="00970626">
        <w:rPr>
          <w:rFonts w:ascii="Calibri" w:eastAsia="Times New Roman" w:hAnsi="Calibri" w:cs="Calibri"/>
        </w:rPr>
        <w:t>); diese Themen beinhalten problemlos genügend Stoff für einen Halbtag.</w:t>
      </w:r>
    </w:p>
    <w:p w14:paraId="0B106B90" w14:textId="77777777" w:rsidR="00970626" w:rsidRPr="00970626" w:rsidRDefault="00970626" w:rsidP="00970626">
      <w:pPr>
        <w:spacing w:after="0" w:line="240" w:lineRule="auto"/>
        <w:rPr>
          <w:rFonts w:ascii="Calibri" w:eastAsia="Times New Roman" w:hAnsi="Calibri" w:cs="Calibri"/>
        </w:rPr>
      </w:pPr>
    </w:p>
    <w:p w14:paraId="0FFB2598" w14:textId="77777777" w:rsidR="00970626" w:rsidRPr="00970626" w:rsidRDefault="00970626" w:rsidP="00970626">
      <w:pPr>
        <w:spacing w:after="0" w:line="240" w:lineRule="auto"/>
        <w:rPr>
          <w:rFonts w:ascii="Calibri" w:eastAsia="Times New Roman" w:hAnsi="Calibri" w:cs="Calibri"/>
        </w:rPr>
      </w:pPr>
      <w:r w:rsidRPr="00970626">
        <w:rPr>
          <w:rFonts w:ascii="Calibri" w:eastAsia="Times New Roman" w:hAnsi="Calibri" w:cs="Calibri"/>
        </w:rPr>
        <w:t>Die Idee wäre, die ganze Thematik in Form eines Workshops einzuführen:</w:t>
      </w:r>
    </w:p>
    <w:p w14:paraId="30DDE720" w14:textId="77777777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970626">
        <w:rPr>
          <w:rFonts w:ascii="Calibri" w:eastAsia="Times New Roman" w:hAnsi="Calibri" w:cs="Calibri"/>
        </w:rPr>
        <w:t>Die Ausgangslage ist gegeben (d.h. Elemente aus «Design Thinking»)</w:t>
      </w:r>
    </w:p>
    <w:p w14:paraId="4BF88539" w14:textId="31D989EB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6BDB1560">
        <w:rPr>
          <w:rFonts w:ascii="Calibri" w:eastAsia="Times New Roman" w:hAnsi="Calibri" w:cs="Calibri"/>
        </w:rPr>
        <w:t>Die Studenten erarbeiten und präsentieren die Lösungen in Teams (wichtig für Kreativität)</w:t>
      </w:r>
    </w:p>
    <w:p w14:paraId="181BCA4E" w14:textId="77777777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970626">
        <w:rPr>
          <w:rFonts w:ascii="Calibri" w:eastAsia="Times New Roman" w:hAnsi="Calibri" w:cs="Calibri"/>
        </w:rPr>
        <w:t>Jeder Zwischenschritt wird von den Mitstudenten formativ bewertet</w:t>
      </w:r>
    </w:p>
    <w:p w14:paraId="7D2CC9B4" w14:textId="77777777" w:rsidR="00970626" w:rsidRPr="00970626" w:rsidRDefault="00970626" w:rsidP="0097062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</w:p>
    <w:p w14:paraId="3A430783" w14:textId="16B4B881" w:rsidR="00970626" w:rsidRPr="00970626" w:rsidRDefault="00970626" w:rsidP="0097062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63F74A19">
        <w:rPr>
          <w:rFonts w:ascii="Calibri" w:eastAsia="Times New Roman" w:hAnsi="Calibri" w:cs="Calibri"/>
          <w:sz w:val="20"/>
          <w:szCs w:val="20"/>
          <w:lang w:eastAsia="de-CH"/>
        </w:rPr>
        <w:t>Themengebiete (roter Faden nach Garrett):</w:t>
      </w:r>
    </w:p>
    <w:p w14:paraId="3883EFA7" w14:textId="77777777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Grundlagen</w:t>
      </w:r>
    </w:p>
    <w:p w14:paraId="388DA2F3" w14:textId="77777777" w:rsidR="00970626" w:rsidRPr="0057263B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B050"/>
          <w:sz w:val="20"/>
          <w:szCs w:val="20"/>
          <w:lang w:eastAsia="de-CH"/>
        </w:rPr>
      </w:pPr>
      <w:r w:rsidRPr="0057263B">
        <w:rPr>
          <w:rFonts w:ascii="Calibri" w:eastAsia="Times New Roman" w:hAnsi="Calibri" w:cs="Calibri"/>
          <w:color w:val="00B050"/>
          <w:sz w:val="20"/>
          <w:szCs w:val="20"/>
          <w:lang w:eastAsia="de-CH"/>
        </w:rPr>
        <w:t>10 Heuristiken nach Jakob Nielsen</w:t>
      </w:r>
    </w:p>
    <w:p w14:paraId="2CB1107B" w14:textId="77777777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Menschliche Wahrnehmung</w:t>
      </w:r>
    </w:p>
    <w:p w14:paraId="1FD20E1C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Gesetzt der Nähe (Fits Law / Hits Law)</w:t>
      </w:r>
    </w:p>
    <w:p w14:paraId="58741054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Weitere Gestaltungsgesetze (vgl. Universal Principles of Design, Lidwell)</w:t>
      </w:r>
    </w:p>
    <w:p w14:paraId="77A33D48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val="en-US"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val="en-US" w:eastAsia="de-CH"/>
        </w:rPr>
        <w:t>Methoden: CardSort, Sitemap, …</w:t>
      </w:r>
    </w:p>
    <w:p w14:paraId="4C72DA08" w14:textId="77777777" w:rsidR="00970626" w:rsidRPr="0057263B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B050"/>
          <w:sz w:val="20"/>
          <w:szCs w:val="20"/>
          <w:lang w:val="en-US" w:eastAsia="de-CH"/>
        </w:rPr>
      </w:pPr>
      <w:r w:rsidRPr="0057263B">
        <w:rPr>
          <w:rFonts w:ascii="Calibri" w:eastAsia="Times New Roman" w:hAnsi="Calibri" w:cs="Calibri"/>
          <w:color w:val="00B050"/>
          <w:sz w:val="20"/>
          <w:szCs w:val="20"/>
          <w:lang w:val="en-US" w:eastAsia="de-CH"/>
        </w:rPr>
        <w:t>Farben und Ästhetik</w:t>
      </w:r>
    </w:p>
    <w:p w14:paraId="6D234DE1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val="en-US" w:eastAsia="de-CH"/>
        </w:rPr>
        <w:t xml:space="preserve">Optional: </w:t>
      </w: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Reziprozität</w:t>
      </w:r>
    </w:p>
    <w:p w14:paraId="7E6F9CEE" w14:textId="77777777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Prozess zur Gestaltung gebrauchstauglicher interaktiver Systeme (ISO 9241-210)</w:t>
      </w:r>
    </w:p>
    <w:p w14:paraId="1AE461C1" w14:textId="5F6C389D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6BDB1560">
        <w:rPr>
          <w:rFonts w:ascii="Calibri" w:eastAsia="Times New Roman" w:hAnsi="Calibri" w:cs="Calibri"/>
          <w:sz w:val="20"/>
          <w:szCs w:val="20"/>
          <w:lang w:eastAsia="de-CH"/>
        </w:rPr>
        <w:t>Einführungen in den iterativen Prozess (Einbettung in Scrum oder vergleichbaren agilen Prozessen)</w:t>
      </w:r>
    </w:p>
    <w:p w14:paraId="4686F65D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val="en-US"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val="en-US" w:eastAsia="de-CH"/>
        </w:rPr>
        <w:t>Usability-Tests mittels Paper Prototypes</w:t>
      </w:r>
    </w:p>
    <w:p w14:paraId="42A6320A" w14:textId="77777777" w:rsidR="00970626" w:rsidRPr="009811CA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FFC000"/>
          <w:sz w:val="20"/>
          <w:szCs w:val="20"/>
          <w:lang w:eastAsia="de-CH"/>
        </w:rPr>
      </w:pPr>
      <w:r w:rsidRPr="009811CA">
        <w:rPr>
          <w:rFonts w:ascii="Calibri" w:eastAsia="Times New Roman" w:hAnsi="Calibri" w:cs="Calibri"/>
          <w:b/>
          <w:bCs/>
          <w:color w:val="FFC000"/>
          <w:sz w:val="20"/>
          <w:szCs w:val="20"/>
          <w:lang w:eastAsia="de-CH"/>
        </w:rPr>
        <w:t xml:space="preserve">Mockups </w:t>
      </w:r>
      <w:r w:rsidRPr="009811CA">
        <w:rPr>
          <w:rFonts w:ascii="Calibri" w:eastAsia="Times New Roman" w:hAnsi="Calibri" w:cs="Calibri"/>
          <w:color w:val="FFC000"/>
          <w:sz w:val="20"/>
          <w:szCs w:val="20"/>
          <w:lang w:eastAsia="de-CH"/>
        </w:rPr>
        <w:t>und Wireframes (Unterschiede und Vor- und Nachteile)</w:t>
      </w:r>
    </w:p>
    <w:p w14:paraId="7CDA84D1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eastAsia="de-CH"/>
        </w:rPr>
        <w:t>Optional: A/B Tests</w:t>
      </w:r>
    </w:p>
    <w:p w14:paraId="6626484D" w14:textId="635CCE76" w:rsidR="00970626" w:rsidRPr="00970626" w:rsidRDefault="00970626" w:rsidP="0097062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6BDB1560">
        <w:rPr>
          <w:rFonts w:ascii="Calibri" w:eastAsia="Times New Roman" w:hAnsi="Calibri" w:cs="Calibri"/>
          <w:sz w:val="20"/>
          <w:szCs w:val="20"/>
          <w:lang w:eastAsia="de-CH"/>
        </w:rPr>
        <w:t>Weiterführende Prinzipien (optional, eigene Nuggets?)</w:t>
      </w:r>
    </w:p>
    <w:p w14:paraId="65B08DE8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val="en-US" w:eastAsia="de-CH"/>
        </w:rPr>
      </w:pPr>
      <w:r w:rsidRPr="00970626">
        <w:rPr>
          <w:rFonts w:ascii="Calibri" w:eastAsia="Times New Roman" w:hAnsi="Calibri" w:cs="Calibri"/>
          <w:sz w:val="20"/>
          <w:szCs w:val="20"/>
          <w:lang w:val="en-US" w:eastAsia="de-CH"/>
        </w:rPr>
        <w:t>Mobile First / Responsive Design (Web)</w:t>
      </w:r>
    </w:p>
    <w:p w14:paraId="4140F89D" w14:textId="77777777" w:rsidR="00970626" w:rsidRPr="00970626" w:rsidRDefault="00970626" w:rsidP="009706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de-CH"/>
        </w:rPr>
      </w:pPr>
      <w:r w:rsidRPr="6BDB1560">
        <w:rPr>
          <w:rFonts w:ascii="Calibri" w:eastAsia="Times New Roman" w:hAnsi="Calibri" w:cs="Calibri"/>
          <w:sz w:val="20"/>
          <w:szCs w:val="20"/>
          <w:lang w:eastAsia="de-CH"/>
        </w:rPr>
        <w:t>Smartwear und Sprachsteuerung</w:t>
      </w:r>
    </w:p>
    <w:p w14:paraId="45F6D2A3" w14:textId="730CD4AE" w:rsidR="6BDB1560" w:rsidRDefault="6BDB1560" w:rsidP="6BDB1560">
      <w:pPr>
        <w:numPr>
          <w:ilvl w:val="1"/>
          <w:numId w:val="1"/>
        </w:numPr>
        <w:spacing w:after="0" w:line="240" w:lineRule="auto"/>
        <w:rPr>
          <w:sz w:val="20"/>
          <w:szCs w:val="20"/>
          <w:lang w:eastAsia="de-CH"/>
        </w:rPr>
      </w:pPr>
      <w:r w:rsidRPr="6BDB1560">
        <w:rPr>
          <w:rFonts w:ascii="Calibri" w:eastAsia="Times New Roman" w:hAnsi="Calibri" w:cs="Calibri"/>
          <w:sz w:val="20"/>
          <w:szCs w:val="20"/>
          <w:lang w:eastAsia="de-CH"/>
        </w:rPr>
        <w:t>AR/VR?</w:t>
      </w:r>
    </w:p>
    <w:p w14:paraId="351FA2BC" w14:textId="5D21C46D" w:rsidR="00171E70" w:rsidRDefault="001A14F6">
      <w:r>
        <w:rPr>
          <w:noProof/>
        </w:rPr>
        <w:lastRenderedPageBreak/>
        <w:drawing>
          <wp:inline distT="0" distB="0" distL="0" distR="0" wp14:anchorId="1A13EB7D" wp14:editId="7BFFAA33">
            <wp:extent cx="4475408" cy="3069193"/>
            <wp:effectExtent l="0" t="0" r="1905" b="0"/>
            <wp:docPr id="2" name="Grafik 2" descr="Why UX and UI should remain separate | by Daryl Duckmanton | UX Coll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y UX and UI should remain separate | by Daryl Duckmanton | UX Collec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836" cy="307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E70">
        <w:rPr>
          <w:noProof/>
        </w:rPr>
        <w:drawing>
          <wp:inline distT="0" distB="0" distL="0" distR="0" wp14:anchorId="6DB1ACFB" wp14:editId="57666587">
            <wp:extent cx="2857057" cy="3809410"/>
            <wp:effectExtent l="0" t="0" r="635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40" cy="38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E70" w:rsidSect="001970F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C2EA6"/>
    <w:multiLevelType w:val="hybridMultilevel"/>
    <w:tmpl w:val="FFFFFFFF"/>
    <w:lvl w:ilvl="0" w:tplc="3C668A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6A"/>
    <w:rsid w:val="000F219A"/>
    <w:rsid w:val="00171E70"/>
    <w:rsid w:val="001970F6"/>
    <w:rsid w:val="001A14F6"/>
    <w:rsid w:val="0038323E"/>
    <w:rsid w:val="00482F6D"/>
    <w:rsid w:val="004A0B6F"/>
    <w:rsid w:val="0057263B"/>
    <w:rsid w:val="00937AED"/>
    <w:rsid w:val="00970626"/>
    <w:rsid w:val="009811CA"/>
    <w:rsid w:val="00A02F6A"/>
    <w:rsid w:val="00BD2BD0"/>
    <w:rsid w:val="00ED10C6"/>
    <w:rsid w:val="0C3B190D"/>
    <w:rsid w:val="1221D90C"/>
    <w:rsid w:val="17A99A46"/>
    <w:rsid w:val="225C4384"/>
    <w:rsid w:val="3CEC1CEE"/>
    <w:rsid w:val="5D7A81CC"/>
    <w:rsid w:val="63F74A19"/>
    <w:rsid w:val="68E90305"/>
    <w:rsid w:val="6BD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85156"/>
  <w15:chartTrackingRefBased/>
  <w15:docId w15:val="{E4184AEF-7B3B-4D6A-8C34-BAE4BC25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70626"/>
    <w:rPr>
      <w:rFonts w:cs="Times New Roman"/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970626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xcollection.com/the-elements-of-user-experienceby-jesse-james-garret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CF8D6-D8BC-4AC6-84D1-0C5C27CF8E70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fe1f2e8-7b69-42bb-93e5-435d7f624a4e"/>
    <ds:schemaRef ds:uri="http://schemas.microsoft.com/office/2006/metadata/properties"/>
    <ds:schemaRef ds:uri="b8f4c0fe-edc9-450e-8777-1e2271ba16b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9C3C61-3548-4C78-9171-7E9CF8AF939E}"/>
</file>

<file path=customXml/itemProps3.xml><?xml version="1.0" encoding="utf-8"?>
<ds:datastoreItem xmlns:ds="http://schemas.openxmlformats.org/officeDocument/2006/customXml" ds:itemID="{5947DE05-C4FA-4E85-B2B6-105A284DF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 Gehrig</dc:creator>
  <cp:keywords/>
  <dc:description/>
  <cp:lastModifiedBy>Marc Lochmeier</cp:lastModifiedBy>
  <cp:revision>15</cp:revision>
  <dcterms:created xsi:type="dcterms:W3CDTF">2022-07-01T13:52:00Z</dcterms:created>
  <dcterms:modified xsi:type="dcterms:W3CDTF">2023-07-12T08:29:00Z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MediaServiceImageTags">
    <vt:lpwstr/>
  </property>
</Properties>
</file>